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15A6051B"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3GPP TSG RAN WG1 #</w:t>
      </w:r>
      <w:r w:rsidR="005D0774">
        <w:rPr>
          <w:rFonts w:ascii="Arial" w:hAnsi="Arial" w:cs="Arial"/>
          <w:b/>
          <w:bCs/>
          <w:sz w:val="28"/>
        </w:rPr>
        <w:t>11</w:t>
      </w:r>
      <w:r w:rsidR="0031311E">
        <w:rPr>
          <w:rFonts w:ascii="Arial" w:hAnsi="Arial" w:cs="Arial"/>
          <w:b/>
          <w:bCs/>
          <w:sz w:val="28"/>
        </w:rPr>
        <w:t>5</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bookmarkStart w:id="1" w:name="_Hlk132207162"/>
      <w:r w:rsidR="00EF2EA4" w:rsidRPr="00394582">
        <w:rPr>
          <w:rFonts w:ascii="Arial" w:hAnsi="Arial" w:cs="Arial"/>
          <w:b/>
          <w:bCs/>
          <w:sz w:val="28"/>
        </w:rPr>
        <w:t>R1-23</w:t>
      </w:r>
      <w:r w:rsidR="00FF1940" w:rsidRPr="00394582">
        <w:rPr>
          <w:rFonts w:ascii="Arial" w:hAnsi="Arial" w:cs="Arial"/>
          <w:b/>
          <w:bCs/>
          <w:sz w:val="28"/>
        </w:rPr>
        <w:t>1</w:t>
      </w:r>
      <w:bookmarkEnd w:id="1"/>
      <w:r w:rsidR="0020380D" w:rsidRPr="00394582">
        <w:rPr>
          <w:rFonts w:ascii="Arial" w:hAnsi="Arial" w:cs="Arial"/>
          <w:b/>
          <w:bCs/>
          <w:sz w:val="28"/>
        </w:rPr>
        <w:t>107</w:t>
      </w:r>
      <w:r w:rsidR="0020380D">
        <w:rPr>
          <w:rFonts w:ascii="Arial" w:hAnsi="Arial" w:cs="Arial"/>
          <w:b/>
          <w:bCs/>
          <w:sz w:val="28"/>
        </w:rPr>
        <w:t>0</w:t>
      </w:r>
    </w:p>
    <w:p w14:paraId="6F5A350C" w14:textId="38F9AF2D" w:rsidR="00B97E2E" w:rsidRPr="005104FD" w:rsidRDefault="00BC23C1" w:rsidP="00B97E2E">
      <w:pPr>
        <w:tabs>
          <w:tab w:val="center" w:pos="4536"/>
          <w:tab w:val="right" w:pos="8280"/>
          <w:tab w:val="right" w:pos="9781"/>
        </w:tabs>
        <w:ind w:right="-58"/>
        <w:jc w:val="both"/>
        <w:rPr>
          <w:rFonts w:ascii="Arial" w:eastAsiaTheme="minorEastAsia" w:hAnsi="Arial" w:cs="Arial"/>
          <w:b/>
          <w:bCs/>
          <w:sz w:val="28"/>
          <w:lang w:eastAsia="zh-TW"/>
        </w:rPr>
      </w:pPr>
      <w:r>
        <w:rPr>
          <w:rFonts w:ascii="Arial" w:eastAsia="MS Mincho" w:hAnsi="Arial" w:cs="Arial"/>
          <w:b/>
          <w:bCs/>
          <w:sz w:val="28"/>
          <w:lang w:eastAsia="ja-JP"/>
        </w:rPr>
        <w:t>Chicago, USA, November 13th – November 17th,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AB950E2"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81445F">
        <w:rPr>
          <w:rFonts w:ascii="Arial" w:eastAsia="新細明體" w:hAnsi="Arial"/>
          <w:color w:val="000000"/>
          <w:sz w:val="24"/>
          <w:lang w:eastAsia="zh-TW"/>
        </w:rPr>
        <w:t>7</w:t>
      </w:r>
      <w:r w:rsidR="0089724A" w:rsidRPr="006B4B4A">
        <w:rPr>
          <w:rFonts w:ascii="Arial" w:eastAsia="新細明體" w:hAnsi="Arial"/>
          <w:color w:val="000000"/>
          <w:sz w:val="24"/>
          <w:lang w:eastAsia="zh-TW"/>
        </w:rPr>
        <w:t>.</w:t>
      </w:r>
      <w:r w:rsidR="0081445F">
        <w:rPr>
          <w:rFonts w:ascii="Arial" w:eastAsia="新細明體" w:hAnsi="Arial"/>
          <w:color w:val="000000"/>
          <w:sz w:val="24"/>
          <w:lang w:eastAsia="zh-TW"/>
        </w:rPr>
        <w:t>2</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740125FE"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383D54" w:rsidRPr="001F579F">
        <w:rPr>
          <w:rFonts w:ascii="Arial" w:hAnsi="Arial"/>
          <w:sz w:val="24"/>
        </w:rPr>
        <w:t>RedCap</w:t>
      </w:r>
      <w:r w:rsidR="00577F10" w:rsidRPr="001F579F">
        <w:rPr>
          <w:rFonts w:ascii="Arial" w:hAnsi="Arial"/>
          <w:sz w:val="24"/>
        </w:rPr>
        <w:t xml:space="preserve"> </w:t>
      </w:r>
      <w:r w:rsidR="00762C9D">
        <w:rPr>
          <w:rFonts w:ascii="Arial" w:hAnsi="Arial"/>
          <w:sz w:val="24"/>
        </w:rPr>
        <w:t>remaining issues with CG-SDT</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3F942AB" w14:textId="097300BB" w:rsidR="00731FA7" w:rsidRPr="00860684" w:rsidRDefault="00860684" w:rsidP="00A81614">
      <w:r>
        <w:t xml:space="preserve">In Rel-17 RedCap, </w:t>
      </w:r>
      <w:r w:rsidR="00EB61EF">
        <w:t xml:space="preserve">one </w:t>
      </w:r>
      <w:r>
        <w:t>remaining issue</w:t>
      </w:r>
      <w:r w:rsidR="00EB61EF">
        <w:t xml:space="preserve"> is about whether </w:t>
      </w:r>
      <w:r>
        <w:t>CG-SDT</w:t>
      </w:r>
      <w:r w:rsidR="00EB61EF">
        <w:t xml:space="preserve"> occasions can be (partially) overlap with paging occasions</w:t>
      </w:r>
      <w:r>
        <w:t xml:space="preserve">. </w:t>
      </w:r>
      <w:r w:rsidR="00ED74AA">
        <w:t xml:space="preserve">The issue was triggered by RAN2 LS in </w:t>
      </w:r>
      <w:r w:rsidR="00F87C9C">
        <w:fldChar w:fldCharType="begin"/>
      </w:r>
      <w:r w:rsidR="00F87C9C">
        <w:instrText xml:space="preserve"> REF _Ref149935817 \r \h </w:instrText>
      </w:r>
      <w:r w:rsidR="00F87C9C">
        <w:fldChar w:fldCharType="separate"/>
      </w:r>
      <w:r w:rsidR="00C22081">
        <w:t>[1]</w:t>
      </w:r>
      <w:r w:rsidR="00F87C9C">
        <w:fldChar w:fldCharType="end"/>
      </w:r>
      <w:r w:rsidR="00F87C9C">
        <w:t xml:space="preserve">. The further reply LSs </w:t>
      </w:r>
      <w:r w:rsidR="0098604F">
        <w:t xml:space="preserve">among WGs </w:t>
      </w:r>
      <w:r w:rsidR="00F87C9C">
        <w:t xml:space="preserve">can be found in </w:t>
      </w:r>
      <w:r w:rsidR="0098604F">
        <w:fldChar w:fldCharType="begin"/>
      </w:r>
      <w:r w:rsidR="0098604F">
        <w:instrText xml:space="preserve"> REF _Ref149936090 \r \h </w:instrText>
      </w:r>
      <w:r w:rsidR="0098604F">
        <w:fldChar w:fldCharType="separate"/>
      </w:r>
      <w:r w:rsidR="00C22081">
        <w:t>[2]</w:t>
      </w:r>
      <w:r w:rsidR="0098604F">
        <w:fldChar w:fldCharType="end"/>
      </w:r>
      <w:r w:rsidR="0098604F">
        <w:t xml:space="preserve"> and </w:t>
      </w:r>
      <w:r w:rsidR="0098604F">
        <w:fldChar w:fldCharType="begin"/>
      </w:r>
      <w:r w:rsidR="0098604F">
        <w:instrText xml:space="preserve"> REF _Ref149936104 \r \h </w:instrText>
      </w:r>
      <w:r w:rsidR="0098604F">
        <w:fldChar w:fldCharType="separate"/>
      </w:r>
      <w:r w:rsidR="00C22081">
        <w:t>[3]</w:t>
      </w:r>
      <w:r w:rsidR="0098604F">
        <w:fldChar w:fldCharType="end"/>
      </w:r>
      <w:r w:rsidR="0098604F">
        <w:t xml:space="preserve">. </w:t>
      </w:r>
    </w:p>
    <w:p w14:paraId="4625A347" w14:textId="68C68553" w:rsidR="00EC5866" w:rsidRDefault="00D66BB3" w:rsidP="00EC5866">
      <w:pPr>
        <w:pStyle w:val="Heading1"/>
      </w:pPr>
      <w:r>
        <w:rPr>
          <w:lang w:val="en-US"/>
        </w:rPr>
        <w:t>Discussion</w:t>
      </w:r>
    </w:p>
    <w:p w14:paraId="4D887640" w14:textId="582CD15B" w:rsidR="000B2857" w:rsidRDefault="0098604F" w:rsidP="00FC3481">
      <w:pPr>
        <w:rPr>
          <w:rFonts w:eastAsiaTheme="minorEastAsia"/>
          <w:lang w:eastAsia="zh-TW"/>
        </w:rPr>
      </w:pPr>
      <w:r>
        <w:rPr>
          <w:rFonts w:eastAsiaTheme="minorEastAsia" w:hint="eastAsia"/>
          <w:lang w:eastAsia="zh-TW"/>
        </w:rPr>
        <w:t>I</w:t>
      </w:r>
      <w:r>
        <w:rPr>
          <w:rFonts w:eastAsiaTheme="minorEastAsia"/>
          <w:lang w:eastAsia="zh-TW"/>
        </w:rPr>
        <w:t xml:space="preserve">n the latest </w:t>
      </w:r>
      <w:r w:rsidR="00956FE7">
        <w:rPr>
          <w:rFonts w:eastAsiaTheme="minorEastAsia"/>
          <w:lang w:eastAsia="zh-TW"/>
        </w:rPr>
        <w:t xml:space="preserve">RAN4 CR for 38.133 </w:t>
      </w:r>
      <w:r w:rsidR="00956FE7">
        <w:rPr>
          <w:rFonts w:eastAsiaTheme="minorEastAsia"/>
          <w:lang w:eastAsia="zh-TW"/>
        </w:rPr>
        <w:fldChar w:fldCharType="begin"/>
      </w:r>
      <w:r w:rsidR="00956FE7">
        <w:rPr>
          <w:rFonts w:eastAsiaTheme="minorEastAsia"/>
          <w:lang w:eastAsia="zh-TW"/>
        </w:rPr>
        <w:instrText xml:space="preserve"> REF _Ref149936320 \r \h </w:instrText>
      </w:r>
      <w:r w:rsidR="00956FE7">
        <w:rPr>
          <w:rFonts w:eastAsiaTheme="minorEastAsia"/>
          <w:lang w:eastAsia="zh-TW"/>
        </w:rPr>
      </w:r>
      <w:r w:rsidR="00956FE7">
        <w:rPr>
          <w:rFonts w:eastAsiaTheme="minorEastAsia"/>
          <w:lang w:eastAsia="zh-TW"/>
        </w:rPr>
        <w:fldChar w:fldCharType="separate"/>
      </w:r>
      <w:r w:rsidR="00C22081">
        <w:rPr>
          <w:rFonts w:eastAsiaTheme="minorEastAsia"/>
          <w:lang w:eastAsia="zh-TW"/>
        </w:rPr>
        <w:t>[5]</w:t>
      </w:r>
      <w:r w:rsidR="00956FE7">
        <w:rPr>
          <w:rFonts w:eastAsiaTheme="minorEastAsia"/>
          <w:lang w:eastAsia="zh-TW"/>
        </w:rPr>
        <w:fldChar w:fldCharType="end"/>
      </w:r>
      <w:r w:rsidR="00956FE7">
        <w:rPr>
          <w:rFonts w:eastAsiaTheme="minorEastAsia"/>
          <w:lang w:eastAsia="zh-TW"/>
        </w:rPr>
        <w:t xml:space="preserve">, </w:t>
      </w:r>
      <w:r w:rsidR="000B2857">
        <w:rPr>
          <w:rFonts w:eastAsiaTheme="minorEastAsia"/>
          <w:lang w:eastAsia="zh-TW"/>
        </w:rPr>
        <w:t xml:space="preserve">though UE </w:t>
      </w:r>
      <w:proofErr w:type="spellStart"/>
      <w:r w:rsidR="000B2857">
        <w:rPr>
          <w:rFonts w:eastAsiaTheme="minorEastAsia"/>
          <w:lang w:eastAsia="zh-TW"/>
        </w:rPr>
        <w:t>behaviour</w:t>
      </w:r>
      <w:proofErr w:type="spellEnd"/>
      <w:r w:rsidR="000B2857">
        <w:rPr>
          <w:rFonts w:eastAsiaTheme="minorEastAsia"/>
          <w:lang w:eastAsia="zh-TW"/>
        </w:rPr>
        <w:t xml:space="preserve"> is specified for the case when part of CG-SDT occasions overlap with paging occasions, RAN4 also agreed that the CR can be revisited if RAN1/2 decide that partial overlap case is not supported. </w:t>
      </w:r>
    </w:p>
    <w:p w14:paraId="4B266AAA" w14:textId="77777777" w:rsidR="000B2857" w:rsidRPr="000B2857" w:rsidRDefault="000B2857" w:rsidP="000B2857">
      <w:pPr>
        <w:pStyle w:val="NormalWeb"/>
        <w:spacing w:before="0" w:beforeAutospacing="0" w:after="180" w:afterAutospacing="0"/>
        <w:rPr>
          <w:rFonts w:ascii="Times New Roman" w:hAnsi="Times New Roman" w:cs="Times New Roman"/>
          <w:i/>
          <w:iCs/>
          <w:sz w:val="21"/>
          <w:szCs w:val="21"/>
          <w:lang w:eastAsia="ja-JP"/>
        </w:rPr>
      </w:pPr>
      <w:r w:rsidRPr="000B2857">
        <w:rPr>
          <w:rFonts w:ascii="Times New Roman" w:hAnsi="Times New Roman" w:cs="Times New Roman"/>
          <w:i/>
          <w:iCs/>
          <w:sz w:val="21"/>
          <w:szCs w:val="21"/>
        </w:rPr>
        <w:t>Agreement:</w:t>
      </w:r>
    </w:p>
    <w:p w14:paraId="1BD6DE84" w14:textId="77777777" w:rsidR="000B2857" w:rsidRPr="000B2857" w:rsidRDefault="000B2857" w:rsidP="000B2857">
      <w:pPr>
        <w:pStyle w:val="NormalWeb"/>
        <w:spacing w:before="0" w:beforeAutospacing="0" w:after="180" w:afterAutospacing="0"/>
        <w:rPr>
          <w:rFonts w:ascii="Times New Roman" w:hAnsi="Times New Roman" w:cs="Times New Roman"/>
          <w:i/>
          <w:iCs/>
          <w:sz w:val="21"/>
          <w:szCs w:val="21"/>
        </w:rPr>
      </w:pPr>
      <w:r w:rsidRPr="000B2857">
        <w:rPr>
          <w:rFonts w:ascii="Times New Roman" w:hAnsi="Times New Roman" w:cs="Times New Roman"/>
          <w:i/>
          <w:iCs/>
          <w:sz w:val="21"/>
          <w:szCs w:val="21"/>
        </w:rPr>
        <w:t>The CR can be revisited in case RAN1/2 decide that partial overlap case is not supported. In the next meeting, update on the wording is not precluded.</w:t>
      </w:r>
    </w:p>
    <w:p w14:paraId="4904B1DC" w14:textId="5DC44498" w:rsidR="00D66BB3" w:rsidRDefault="000B2857" w:rsidP="00FC3481">
      <w:pPr>
        <w:rPr>
          <w:rFonts w:eastAsiaTheme="minorEastAsia"/>
          <w:lang w:eastAsia="zh-TW"/>
        </w:rPr>
      </w:pPr>
      <w:r>
        <w:rPr>
          <w:rFonts w:eastAsiaTheme="minorEastAsia"/>
          <w:lang w:eastAsia="zh-TW"/>
        </w:rPr>
        <w:t xml:space="preserve"> </w:t>
      </w:r>
    </w:p>
    <w:p w14:paraId="63DBBF74" w14:textId="00B240E1" w:rsidR="00967426" w:rsidRDefault="002B2BA7" w:rsidP="00FC3481">
      <w:pPr>
        <w:rPr>
          <w:rFonts w:eastAsiaTheme="minorEastAsia" w:hint="eastAsia"/>
          <w:lang w:eastAsia="zh-TW"/>
        </w:rPr>
      </w:pPr>
      <w:r>
        <w:rPr>
          <w:rFonts w:eastAsiaTheme="minorEastAsia"/>
          <w:lang w:eastAsia="zh-TW"/>
        </w:rPr>
        <w:t xml:space="preserve">Based on the following agreements made at RAN1 #106bis-e, </w:t>
      </w:r>
      <w:r w:rsidR="009010F7">
        <w:rPr>
          <w:rFonts w:eastAsiaTheme="minorEastAsia"/>
          <w:lang w:eastAsia="zh-TW"/>
        </w:rPr>
        <w:t xml:space="preserve">RAN1 has agreed that </w:t>
      </w:r>
      <w:proofErr w:type="spellStart"/>
      <w:r w:rsidR="009010F7">
        <w:rPr>
          <w:rFonts w:eastAsiaTheme="minorEastAsia"/>
          <w:lang w:eastAsia="zh-TW"/>
        </w:rPr>
        <w:t>gNB</w:t>
      </w:r>
      <w:proofErr w:type="spellEnd"/>
      <w:r w:rsidR="009010F7">
        <w:rPr>
          <w:rFonts w:eastAsiaTheme="minorEastAsia"/>
          <w:lang w:eastAsia="zh-TW"/>
        </w:rPr>
        <w:t xml:space="preserve"> should avoid </w:t>
      </w:r>
      <w:r w:rsidR="00F62737">
        <w:rPr>
          <w:rFonts w:eastAsiaTheme="minorEastAsia"/>
          <w:lang w:eastAsia="zh-TW"/>
        </w:rPr>
        <w:t xml:space="preserve">overlapping </w:t>
      </w:r>
      <w:r w:rsidR="000F72AC">
        <w:rPr>
          <w:rFonts w:eastAsiaTheme="minorEastAsia"/>
          <w:lang w:eastAsia="zh-TW"/>
        </w:rPr>
        <w:t xml:space="preserve">between </w:t>
      </w:r>
      <w:r w:rsidR="009010F7">
        <w:rPr>
          <w:rFonts w:eastAsiaTheme="minorEastAsia"/>
          <w:lang w:eastAsia="zh-TW"/>
        </w:rPr>
        <w:t xml:space="preserve">CG </w:t>
      </w:r>
      <w:r w:rsidR="000F72AC">
        <w:rPr>
          <w:rFonts w:eastAsiaTheme="minorEastAsia"/>
          <w:lang w:eastAsia="zh-TW"/>
        </w:rPr>
        <w:t xml:space="preserve">occasions and paging occasions </w:t>
      </w:r>
      <w:r>
        <w:rPr>
          <w:rFonts w:eastAsiaTheme="minorEastAsia"/>
          <w:lang w:eastAsia="zh-TW"/>
        </w:rPr>
        <w:t>(</w:t>
      </w:r>
      <w:r w:rsidR="000F72AC">
        <w:rPr>
          <w:rFonts w:eastAsiaTheme="minorEastAsia"/>
          <w:lang w:eastAsia="zh-TW"/>
        </w:rPr>
        <w:t>for at least UEs in connected mode</w:t>
      </w:r>
      <w:r>
        <w:rPr>
          <w:rFonts w:eastAsiaTheme="minorEastAsia"/>
          <w:lang w:eastAsia="zh-TW"/>
        </w:rPr>
        <w:t>)</w:t>
      </w:r>
      <w:r w:rsidR="000F72AC">
        <w:rPr>
          <w:rFonts w:eastAsiaTheme="minorEastAsia"/>
          <w:lang w:eastAsia="zh-TW"/>
        </w:rPr>
        <w:t>. The density of</w:t>
      </w:r>
      <w:r>
        <w:rPr>
          <w:rFonts w:eastAsiaTheme="minorEastAsia"/>
          <w:lang w:eastAsia="zh-TW"/>
        </w:rPr>
        <w:t xml:space="preserve"> higher layer configured (</w:t>
      </w:r>
      <w:proofErr w:type="gramStart"/>
      <w:r>
        <w:rPr>
          <w:rFonts w:eastAsiaTheme="minorEastAsia"/>
          <w:lang w:eastAsia="zh-TW"/>
        </w:rPr>
        <w:t>e.g.</w:t>
      </w:r>
      <w:proofErr w:type="gramEnd"/>
      <w:r>
        <w:rPr>
          <w:rFonts w:eastAsiaTheme="minorEastAsia"/>
          <w:lang w:eastAsia="zh-TW"/>
        </w:rPr>
        <w:t xml:space="preserve"> CG) occasions</w:t>
      </w:r>
      <w:r w:rsidR="000F72AC">
        <w:rPr>
          <w:rFonts w:eastAsiaTheme="minorEastAsia"/>
          <w:lang w:eastAsia="zh-TW"/>
        </w:rPr>
        <w:t xml:space="preserve"> </w:t>
      </w:r>
      <w:r>
        <w:rPr>
          <w:rFonts w:eastAsiaTheme="minorEastAsia"/>
          <w:lang w:eastAsia="zh-TW"/>
        </w:rPr>
        <w:t xml:space="preserve">for </w:t>
      </w:r>
      <w:r w:rsidR="000F72AC">
        <w:rPr>
          <w:rFonts w:eastAsiaTheme="minorEastAsia"/>
          <w:lang w:eastAsia="zh-TW"/>
        </w:rPr>
        <w:t>connected UEs should be higher than those for inactive UEs</w:t>
      </w:r>
      <w:r>
        <w:rPr>
          <w:rFonts w:eastAsiaTheme="minorEastAsia"/>
          <w:lang w:eastAsia="zh-TW"/>
        </w:rPr>
        <w:t xml:space="preserve"> (e.g. CG-SDT)</w:t>
      </w:r>
      <w:r w:rsidR="000F72AC">
        <w:rPr>
          <w:rFonts w:eastAsiaTheme="minorEastAsia"/>
          <w:lang w:eastAsia="zh-TW"/>
        </w:rPr>
        <w:t xml:space="preserve">. If </w:t>
      </w:r>
      <w:proofErr w:type="spellStart"/>
      <w:r w:rsidR="000F72AC">
        <w:rPr>
          <w:rFonts w:eastAsiaTheme="minorEastAsia"/>
          <w:lang w:eastAsia="zh-TW"/>
        </w:rPr>
        <w:t>gNB</w:t>
      </w:r>
      <w:proofErr w:type="spellEnd"/>
      <w:r w:rsidR="000F72AC">
        <w:rPr>
          <w:rFonts w:eastAsiaTheme="minorEastAsia"/>
          <w:lang w:eastAsia="zh-TW"/>
        </w:rPr>
        <w:t xml:space="preserve"> </w:t>
      </w:r>
      <w:r>
        <w:rPr>
          <w:rFonts w:eastAsiaTheme="minorEastAsia"/>
          <w:lang w:eastAsia="zh-TW"/>
        </w:rPr>
        <w:t>can</w:t>
      </w:r>
      <w:r w:rsidR="000F72AC">
        <w:rPr>
          <w:rFonts w:eastAsiaTheme="minorEastAsia"/>
          <w:lang w:eastAsia="zh-TW"/>
        </w:rPr>
        <w:t xml:space="preserve"> avoid the collision for connected UEs, it is reasonable to assume it can also do so for inactive UEs with less dense CG-SDT </w:t>
      </w:r>
      <w:r w:rsidR="0071196E">
        <w:rPr>
          <w:rFonts w:eastAsiaTheme="minorEastAsia"/>
          <w:lang w:eastAsia="zh-TW"/>
        </w:rPr>
        <w:t xml:space="preserve">occasions. </w:t>
      </w:r>
    </w:p>
    <w:tbl>
      <w:tblPr>
        <w:tblStyle w:val="TableGrid"/>
        <w:tblW w:w="0" w:type="auto"/>
        <w:tblLook w:val="04A0" w:firstRow="1" w:lastRow="0" w:firstColumn="1" w:lastColumn="0" w:noHBand="0" w:noVBand="1"/>
      </w:tblPr>
      <w:tblGrid>
        <w:gridCol w:w="9631"/>
      </w:tblGrid>
      <w:tr w:rsidR="00967426" w14:paraId="5216A4D6" w14:textId="77777777" w:rsidTr="00967426">
        <w:tc>
          <w:tcPr>
            <w:tcW w:w="9631" w:type="dxa"/>
          </w:tcPr>
          <w:p w14:paraId="7F418FD3" w14:textId="24528AF1" w:rsidR="00967426" w:rsidRDefault="00967426" w:rsidP="00967426">
            <w:pPr>
              <w:jc w:val="both"/>
              <w:rPr>
                <w:rFonts w:ascii="Times New Roman" w:hAnsi="Times New Roman"/>
                <w:highlight w:val="green"/>
                <w:lang w:eastAsia="en-US"/>
              </w:rPr>
            </w:pPr>
            <w:r>
              <w:rPr>
                <w:rFonts w:ascii="Times New Roman" w:hAnsi="Times New Roman"/>
                <w:highlight w:val="green"/>
              </w:rPr>
              <w:t>Agreements:</w:t>
            </w:r>
            <w:r>
              <w:rPr>
                <w:rFonts w:cs="Times"/>
                <w:color w:val="FF0000"/>
              </w:rPr>
              <w:t xml:space="preserve"> </w:t>
            </w:r>
            <w:r w:rsidR="001800D4">
              <w:rPr>
                <w:rFonts w:cs="Times"/>
                <w:color w:val="FF0000"/>
              </w:rPr>
              <w:t xml:space="preserve">(RAN1#106bis-e) </w:t>
            </w:r>
            <w:r>
              <w:rPr>
                <w:rFonts w:cs="Times"/>
                <w:color w:val="FF0000"/>
              </w:rPr>
              <w:t>[38.213]</w:t>
            </w:r>
          </w:p>
          <w:p w14:paraId="11378B7D" w14:textId="77777777" w:rsidR="00967426" w:rsidRDefault="00967426" w:rsidP="00967426">
            <w:pPr>
              <w:shd w:val="clear" w:color="auto" w:fill="FFFFFF"/>
              <w:jc w:val="both"/>
              <w:rPr>
                <w:rFonts w:ascii="Times New Roman" w:eastAsia="Microsoft YaHei UI" w:hAnsi="Times New Roman"/>
                <w:color w:val="000000"/>
                <w:lang w:eastAsia="zh-CN"/>
              </w:rPr>
            </w:pPr>
            <w:bookmarkStart w:id="2" w:name="OLE_LINK10"/>
            <w:r>
              <w:rPr>
                <w:rFonts w:ascii="Times New Roman" w:eastAsia="Microsoft YaHei UI" w:hAnsi="Times New Roman"/>
                <w:color w:val="000000"/>
                <w:lang w:eastAsia="zh-CN"/>
              </w:rPr>
              <w:t>Revise the RAN1#104bis-e agreement for Case 3 as the following</w:t>
            </w:r>
          </w:p>
          <w:p w14:paraId="1AEEFB60" w14:textId="77777777" w:rsidR="00967426" w:rsidRDefault="00967426" w:rsidP="00967426">
            <w:pPr>
              <w:numPr>
                <w:ilvl w:val="0"/>
                <w:numId w:val="29"/>
              </w:numPr>
              <w:shd w:val="clear" w:color="auto" w:fill="FFFFFF"/>
              <w:spacing w:line="231" w:lineRule="atLeast"/>
              <w:rPr>
                <w:rFonts w:ascii="Times New Roman" w:eastAsia="Microsoft YaHei UI" w:hAnsi="Times New Roman"/>
                <w:color w:val="000000"/>
                <w:lang w:eastAsia="zh-CN"/>
              </w:rPr>
            </w:pPr>
            <w:r>
              <w:rPr>
                <w:rFonts w:ascii="Times New Roman" w:eastAsia="Microsoft YaHei UI" w:hAnsi="Times New Roman"/>
                <w:color w:val="000000"/>
                <w:lang w:eastAsia="zh-CN"/>
              </w:rPr>
              <w:t>For Case 3, semi-statically configured DL reception vs. semi-statically configured UL transmission</w:t>
            </w:r>
          </w:p>
          <w:p w14:paraId="5D2E57DB" w14:textId="77777777" w:rsidR="00967426" w:rsidRDefault="00967426" w:rsidP="00967426">
            <w:pPr>
              <w:numPr>
                <w:ilvl w:val="1"/>
                <w:numId w:val="29"/>
              </w:numPr>
              <w:shd w:val="clear" w:color="auto" w:fill="FFFFFF"/>
              <w:spacing w:line="231" w:lineRule="atLeast"/>
              <w:rPr>
                <w:rFonts w:ascii="Times New Roman" w:eastAsia="Microsoft YaHei UI" w:hAnsi="Times New Roman"/>
                <w:color w:val="000000"/>
                <w:lang w:eastAsia="zh-CN"/>
              </w:rPr>
            </w:pPr>
            <w:r>
              <w:rPr>
                <w:rFonts w:ascii="Times New Roman" w:eastAsia="Microsoft YaHei UI" w:hAnsi="Times New Roman"/>
                <w:color w:val="000000"/>
                <w:lang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55ED5F6C" w14:textId="77777777" w:rsidR="00967426" w:rsidRDefault="00967426" w:rsidP="00967426">
            <w:pPr>
              <w:numPr>
                <w:ilvl w:val="1"/>
                <w:numId w:val="29"/>
              </w:numPr>
              <w:shd w:val="clear" w:color="auto" w:fill="FFFFFF"/>
              <w:spacing w:line="231" w:lineRule="atLeast"/>
              <w:rPr>
                <w:rFonts w:ascii="Times New Roman" w:eastAsia="Microsoft YaHei UI" w:hAnsi="Times New Roman"/>
                <w:color w:val="000000"/>
                <w:lang w:eastAsia="zh-CN"/>
              </w:rPr>
            </w:pPr>
            <w:r>
              <w:rPr>
                <w:rFonts w:ascii="Times New Roman" w:eastAsia="Microsoft YaHei UI" w:hAnsi="Times New Roman"/>
                <w:color w:val="000000"/>
                <w:lang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0E729D89" w14:textId="77777777" w:rsidR="00967426" w:rsidRDefault="00967426" w:rsidP="00967426">
            <w:pPr>
              <w:numPr>
                <w:ilvl w:val="2"/>
                <w:numId w:val="29"/>
              </w:numPr>
              <w:shd w:val="clear" w:color="auto" w:fill="FFFFFF"/>
              <w:spacing w:line="231" w:lineRule="atLeast"/>
              <w:rPr>
                <w:rFonts w:ascii="Times New Roman" w:eastAsia="Microsoft YaHei UI" w:hAnsi="Times New Roman"/>
                <w:lang w:eastAsia="zh-CN"/>
              </w:rPr>
            </w:pPr>
            <w:r>
              <w:rPr>
                <w:rFonts w:ascii="Times New Roman" w:eastAsia="Microsoft YaHei UI" w:hAnsi="Times New Roman"/>
                <w:lang w:eastAsia="zh-CN"/>
              </w:rPr>
              <w:t>Cell-specifically configured DL reception refers to PDCCH in</w:t>
            </w:r>
            <w:bookmarkEnd w:id="2"/>
            <w:r>
              <w:rPr>
                <w:rFonts w:ascii="Times New Roman" w:eastAsia="Microsoft YaHei UI" w:hAnsi="Times New Roman"/>
                <w:lang w:eastAsia="zh-CN"/>
              </w:rPr>
              <w:t xml:space="preserve"> Type-0/0A/1/2 CSS set</w:t>
            </w:r>
          </w:p>
          <w:p w14:paraId="68244276" w14:textId="5E124871" w:rsidR="00967426" w:rsidRDefault="00967426" w:rsidP="00967426">
            <w:pPr>
              <w:rPr>
                <w:rFonts w:eastAsiaTheme="minorEastAsia"/>
                <w:lang w:eastAsia="zh-TW"/>
              </w:rPr>
            </w:pPr>
            <w:r>
              <w:rPr>
                <w:rFonts w:ascii="Times New Roman" w:eastAsia="Microsoft YaHei UI" w:hAnsi="Times New Roman"/>
                <w:color w:val="000000"/>
                <w:lang w:eastAsia="zh-CN"/>
              </w:rPr>
              <w:t xml:space="preserve">FFS: </w:t>
            </w:r>
            <w:proofErr w:type="gramStart"/>
            <w:r>
              <w:rPr>
                <w:rFonts w:ascii="Times New Roman" w:eastAsia="Microsoft YaHei UI" w:hAnsi="Times New Roman"/>
                <w:color w:val="000000"/>
                <w:lang w:eastAsia="zh-CN"/>
              </w:rPr>
              <w:t>whether or not</w:t>
            </w:r>
            <w:proofErr w:type="gramEnd"/>
            <w:r>
              <w:rPr>
                <w:rFonts w:ascii="Times New Roman" w:eastAsia="Microsoft YaHei UI" w:hAnsi="Times New Roman"/>
                <w:color w:val="000000"/>
                <w:lang w:eastAsia="zh-CN"/>
              </w:rPr>
              <w:t xml:space="preserve"> there are conditions that need to be considered</w:t>
            </w:r>
          </w:p>
        </w:tc>
      </w:tr>
    </w:tbl>
    <w:p w14:paraId="1B0240BD" w14:textId="77777777" w:rsidR="00967426" w:rsidRPr="00D66BB3" w:rsidRDefault="00967426" w:rsidP="00FC3481">
      <w:pPr>
        <w:rPr>
          <w:rFonts w:eastAsiaTheme="minorEastAsia"/>
          <w:lang w:eastAsia="zh-TW"/>
        </w:rPr>
      </w:pPr>
    </w:p>
    <w:p w14:paraId="4B106EAC" w14:textId="22BEFF95" w:rsidR="007102EB" w:rsidRDefault="00C01EF1" w:rsidP="00E94380">
      <w:pPr>
        <w:pStyle w:val="Caption"/>
      </w:pPr>
      <w:bookmarkStart w:id="3" w:name="_Ref149936548"/>
      <w:r>
        <w:t xml:space="preserve">Proposal </w:t>
      </w:r>
      <w:fldSimple w:instr=" SEQ Proposal \* ARABIC ">
        <w:r w:rsidR="00C22081">
          <w:rPr>
            <w:noProof/>
          </w:rPr>
          <w:t>1</w:t>
        </w:r>
      </w:fldSimple>
      <w:r>
        <w:t xml:space="preserve">: </w:t>
      </w:r>
      <w:r w:rsidR="00E94380">
        <w:t xml:space="preserve">(As a conclusion) </w:t>
      </w:r>
      <w:r w:rsidR="000B2857">
        <w:t>A</w:t>
      </w:r>
      <w:r w:rsidR="00E94380">
        <w:t xml:space="preserve"> HD-FDD RedCap </w:t>
      </w:r>
      <w:r w:rsidR="000B2857">
        <w:t xml:space="preserve">UE </w:t>
      </w:r>
      <w:r w:rsidR="005F65A7">
        <w:t xml:space="preserve">does not expect </w:t>
      </w:r>
      <w:r w:rsidR="00615C23">
        <w:t xml:space="preserve">to receive CG-SDT configuration with CG-SDT occasions </w:t>
      </w:r>
      <w:r w:rsidR="007102EB">
        <w:t>overlapping with Type2 CSS set and paging occasions. Send LS to RAN2 and RAN4.</w:t>
      </w:r>
      <w:bookmarkEnd w:id="3"/>
      <w:r w:rsidR="007102EB">
        <w:t xml:space="preserve"> </w:t>
      </w:r>
    </w:p>
    <w:p w14:paraId="22BDCA2D" w14:textId="12267C5C" w:rsidR="00D66BB3" w:rsidRPr="00C22081" w:rsidRDefault="007102EB" w:rsidP="00E94380">
      <w:pPr>
        <w:pStyle w:val="Caption"/>
        <w:numPr>
          <w:ilvl w:val="0"/>
          <w:numId w:val="30"/>
        </w:numPr>
        <w:rPr>
          <w:rFonts w:hint="eastAsia"/>
        </w:rPr>
      </w:pPr>
      <w:bookmarkStart w:id="4" w:name="OLE_LINK19"/>
      <w:r>
        <w:t xml:space="preserve">No RAN1 specification change. </w:t>
      </w:r>
    </w:p>
    <w:bookmarkEnd w:id="4"/>
    <w:p w14:paraId="6C043A17" w14:textId="6E19D049" w:rsidR="00726F36" w:rsidRDefault="00DF591C" w:rsidP="00726F36">
      <w:pPr>
        <w:pStyle w:val="Heading1"/>
        <w:jc w:val="both"/>
        <w:rPr>
          <w:lang w:val="en-US" w:eastAsia="zh-CN"/>
        </w:rPr>
      </w:pPr>
      <w:r>
        <w:rPr>
          <w:rFonts w:eastAsia="SimSun"/>
          <w:lang w:val="en-US" w:eastAsia="zh-CN"/>
        </w:rPr>
        <w:lastRenderedPageBreak/>
        <w:t>Conclusion</w:t>
      </w:r>
      <w:r w:rsidR="00726F36">
        <w:rPr>
          <w:rFonts w:eastAsia="SimSun"/>
          <w:lang w:val="en-US" w:eastAsia="zh-CN"/>
        </w:rPr>
        <w:t xml:space="preserve"> </w:t>
      </w:r>
    </w:p>
    <w:p w14:paraId="40E07D84" w14:textId="57943180" w:rsidR="003332DE" w:rsidRDefault="00B069F4" w:rsidP="006F3793">
      <w:pPr>
        <w:rPr>
          <w:rFonts w:eastAsiaTheme="minorEastAsia"/>
          <w:lang w:eastAsia="zh-TW"/>
        </w:rPr>
      </w:pPr>
      <w:bookmarkStart w:id="5" w:name="_Ref95547977"/>
      <w:bookmarkStart w:id="6" w:name="_Ref528853922"/>
      <w:bookmarkStart w:id="7" w:name="_Ref481596356"/>
      <w:bookmarkStart w:id="8" w:name="_Ref481781528"/>
      <w:bookmarkStart w:id="9" w:name="_Ref481782557"/>
      <w:bookmarkStart w:id="10" w:name="_Ref101789663"/>
      <w:bookmarkStart w:id="11" w:name="_Ref102081114"/>
      <w:r>
        <w:rPr>
          <w:rFonts w:eastAsiaTheme="minorEastAsia"/>
          <w:lang w:eastAsia="zh-TW"/>
        </w:rPr>
        <w:t xml:space="preserve">In this contribution, we have the following </w:t>
      </w:r>
      <w:r w:rsidR="00E35523">
        <w:rPr>
          <w:rFonts w:eastAsiaTheme="minorEastAsia"/>
          <w:lang w:eastAsia="zh-TW"/>
        </w:rPr>
        <w:t>proposal</w:t>
      </w:r>
      <w:r>
        <w:rPr>
          <w:rFonts w:eastAsiaTheme="minorEastAsia"/>
          <w:lang w:eastAsia="zh-TW"/>
        </w:rPr>
        <w:t xml:space="preserve">. </w:t>
      </w:r>
    </w:p>
    <w:p w14:paraId="0688B8A2" w14:textId="6C009F3C" w:rsidR="006A43E1" w:rsidRPr="00FB4802" w:rsidRDefault="00FB4802" w:rsidP="006C6FA9">
      <w:pPr>
        <w:rPr>
          <w:b/>
          <w:bCs/>
        </w:rPr>
      </w:pPr>
      <w:r w:rsidRPr="00FB4802">
        <w:rPr>
          <w:b/>
          <w:bCs/>
        </w:rPr>
        <w:fldChar w:fldCharType="begin"/>
      </w:r>
      <w:r w:rsidRPr="00FB4802">
        <w:rPr>
          <w:b/>
          <w:bCs/>
        </w:rPr>
        <w:instrText xml:space="preserve"> REF _Ref149936548 \h </w:instrText>
      </w:r>
      <w:r w:rsidRPr="00FB4802">
        <w:rPr>
          <w:b/>
          <w:bCs/>
        </w:rPr>
      </w:r>
      <w:r>
        <w:rPr>
          <w:b/>
          <w:bCs/>
        </w:rPr>
        <w:instrText xml:space="preserve"> \* MERGEFORMAT </w:instrText>
      </w:r>
      <w:r w:rsidRPr="00FB4802">
        <w:rPr>
          <w:b/>
          <w:bCs/>
        </w:rPr>
        <w:fldChar w:fldCharType="separate"/>
      </w:r>
      <w:r w:rsidRPr="00FB4802">
        <w:rPr>
          <w:b/>
          <w:bCs/>
        </w:rPr>
        <w:t xml:space="preserve">Proposal </w:t>
      </w:r>
      <w:r w:rsidRPr="00FB4802">
        <w:rPr>
          <w:b/>
          <w:bCs/>
          <w:noProof/>
        </w:rPr>
        <w:t>1</w:t>
      </w:r>
      <w:r w:rsidRPr="00FB4802">
        <w:rPr>
          <w:b/>
          <w:bCs/>
        </w:rPr>
        <w:t>: (As a conclusion) A HD-FDD RedCap UE does not expect to receive CG-SDT configuration with CG-SDT occasions overlapping with Type2 CSS set and paging occasions. Send LS to RAN2 and RAN4.</w:t>
      </w:r>
      <w:r w:rsidRPr="00FB4802">
        <w:rPr>
          <w:b/>
          <w:bCs/>
        </w:rPr>
        <w:fldChar w:fldCharType="end"/>
      </w:r>
    </w:p>
    <w:p w14:paraId="6A210533" w14:textId="77777777" w:rsidR="00FB4802" w:rsidRDefault="00FB4802" w:rsidP="00FB4802">
      <w:pPr>
        <w:pStyle w:val="Caption"/>
        <w:numPr>
          <w:ilvl w:val="0"/>
          <w:numId w:val="32"/>
        </w:numPr>
        <w:textAlignment w:val="auto"/>
      </w:pPr>
      <w:r>
        <w:t xml:space="preserve">No RAN1 specification change. </w:t>
      </w:r>
    </w:p>
    <w:p w14:paraId="294FCA40" w14:textId="77777777" w:rsidR="00FB4802" w:rsidRPr="00E35523" w:rsidRDefault="00FB4802" w:rsidP="006C6FA9"/>
    <w:p w14:paraId="0ACDCD44" w14:textId="59DF45B3" w:rsidR="004B3740" w:rsidRDefault="00614CC0" w:rsidP="004B3740">
      <w:pPr>
        <w:pStyle w:val="Heading1"/>
        <w:jc w:val="both"/>
        <w:rPr>
          <w:lang w:val="en-US" w:eastAsia="zh-CN"/>
        </w:rPr>
      </w:pPr>
      <w:r>
        <w:rPr>
          <w:rFonts w:eastAsia="SimSun"/>
          <w:lang w:val="en-US" w:eastAsia="zh-CN"/>
        </w:rPr>
        <w:t>Reference</w:t>
      </w:r>
      <w:r w:rsidR="00BD4C47">
        <w:rPr>
          <w:rFonts w:eastAsia="SimSun"/>
          <w:lang w:val="en-US" w:eastAsia="zh-CN"/>
        </w:rPr>
        <w:t>s</w:t>
      </w:r>
      <w:r w:rsidR="004B3740">
        <w:rPr>
          <w:rFonts w:eastAsia="SimSun"/>
          <w:lang w:val="en-US" w:eastAsia="zh-CN"/>
        </w:rPr>
        <w:t xml:space="preserve"> </w:t>
      </w:r>
    </w:p>
    <w:p w14:paraId="7686DA29" w14:textId="77777777" w:rsidR="00ED74AA" w:rsidRDefault="00ED74AA" w:rsidP="005A662F">
      <w:pPr>
        <w:numPr>
          <w:ilvl w:val="0"/>
          <w:numId w:val="12"/>
        </w:numPr>
        <w:overflowPunct/>
        <w:autoSpaceDE/>
        <w:autoSpaceDN/>
        <w:adjustRightInd/>
        <w:spacing w:after="120"/>
        <w:textAlignment w:val="auto"/>
      </w:pPr>
      <w:bookmarkStart w:id="12" w:name="_Ref131794943"/>
      <w:bookmarkStart w:id="13" w:name="_Ref131684639"/>
      <w:bookmarkStart w:id="14" w:name="OLE_LINK11"/>
      <w:bookmarkStart w:id="15" w:name="_Ref149935817"/>
      <w:bookmarkEnd w:id="5"/>
      <w:bookmarkEnd w:id="6"/>
      <w:bookmarkEnd w:id="7"/>
      <w:bookmarkEnd w:id="8"/>
      <w:bookmarkEnd w:id="9"/>
      <w:bookmarkEnd w:id="10"/>
      <w:bookmarkEnd w:id="11"/>
      <w:r>
        <w:t>R1-2304331</w:t>
      </w:r>
      <w:bookmarkEnd w:id="14"/>
      <w:r>
        <w:t xml:space="preserve"> (R2-2304562), “</w:t>
      </w:r>
      <w:r>
        <w:rPr>
          <w:lang w:eastAsia="zh-CN"/>
        </w:rPr>
        <w:t>LS on Monitoring of paging occasions for CG-SDT with HD-FDD Redcap UEs,</w:t>
      </w:r>
      <w:r>
        <w:t>” RAN2 (Ericsson), RAN2 #121bis-e meeting, April 2023</w:t>
      </w:r>
      <w:bookmarkEnd w:id="15"/>
    </w:p>
    <w:p w14:paraId="6456BC75" w14:textId="0452AE47" w:rsidR="00F87C9C" w:rsidRDefault="00F87C9C" w:rsidP="005A662F">
      <w:pPr>
        <w:numPr>
          <w:ilvl w:val="0"/>
          <w:numId w:val="12"/>
        </w:numPr>
        <w:overflowPunct/>
        <w:autoSpaceDE/>
        <w:autoSpaceDN/>
        <w:adjustRightInd/>
        <w:spacing w:after="120"/>
        <w:textAlignment w:val="auto"/>
      </w:pPr>
      <w:bookmarkStart w:id="16" w:name="_Ref149936090"/>
      <w:r w:rsidRPr="00F87C9C">
        <w:t>R1-2308812</w:t>
      </w:r>
      <w:r>
        <w:t xml:space="preserve"> (</w:t>
      </w:r>
      <w:r w:rsidR="00711F75" w:rsidRPr="00711F75">
        <w:t>R4-2314464</w:t>
      </w:r>
      <w:r>
        <w:t xml:space="preserve">), </w:t>
      </w:r>
      <w:r w:rsidR="00711F75">
        <w:t>“</w:t>
      </w:r>
      <w:r w:rsidRPr="00F87C9C">
        <w:t>Reply LS on monitoring of paging occasions for CG-SDT with HD-FDD Redcap UEs</w:t>
      </w:r>
      <w:r w:rsidR="00711F75">
        <w:t xml:space="preserve">,” RAN4 (MediaTek), </w:t>
      </w:r>
      <w:r w:rsidR="00D73805">
        <w:t>RAN4</w:t>
      </w:r>
      <w:r w:rsidR="00D73805" w:rsidRPr="00D73805">
        <w:t xml:space="preserve"> #108</w:t>
      </w:r>
      <w:r w:rsidR="00D73805">
        <w:t xml:space="preserve"> </w:t>
      </w:r>
      <w:r w:rsidR="00D73805">
        <w:t>Meeting</w:t>
      </w:r>
      <w:r w:rsidR="00D73805">
        <w:t xml:space="preserve">, </w:t>
      </w:r>
      <w:r w:rsidR="00F644AD">
        <w:t>August 2023</w:t>
      </w:r>
      <w:bookmarkEnd w:id="16"/>
    </w:p>
    <w:p w14:paraId="141CA227" w14:textId="59C22AB8" w:rsidR="00DC5BAC" w:rsidRDefault="00DC5BAC" w:rsidP="00DC5BAC">
      <w:pPr>
        <w:numPr>
          <w:ilvl w:val="0"/>
          <w:numId w:val="12"/>
        </w:numPr>
        <w:overflowPunct/>
        <w:autoSpaceDE/>
        <w:autoSpaceDN/>
        <w:adjustRightInd/>
        <w:spacing w:after="120"/>
        <w:textAlignment w:val="auto"/>
      </w:pPr>
      <w:bookmarkStart w:id="17" w:name="OLE_LINK7"/>
      <w:bookmarkStart w:id="18" w:name="_Ref149936104"/>
      <w:bookmarkEnd w:id="12"/>
      <w:bookmarkEnd w:id="13"/>
      <w:r>
        <w:t>R1-2310792</w:t>
      </w:r>
      <w:bookmarkEnd w:id="17"/>
      <w:r w:rsidR="007B362F">
        <w:t xml:space="preserve"> (</w:t>
      </w:r>
      <w:r w:rsidR="007B362F" w:rsidRPr="007B362F">
        <w:t>R2-2311424</w:t>
      </w:r>
      <w:r w:rsidR="007B362F">
        <w:t>)</w:t>
      </w:r>
      <w:r>
        <w:t xml:space="preserve">, </w:t>
      </w:r>
      <w:r w:rsidR="007B362F">
        <w:t>“</w:t>
      </w:r>
      <w:r>
        <w:t>Reply LS on monitoring of paging occasions for CG-SDT with HD-FDD Redcap UEs</w:t>
      </w:r>
      <w:r w:rsidR="007B362F">
        <w:t>”</w:t>
      </w:r>
      <w:r>
        <w:t xml:space="preserve">, RAN2 </w:t>
      </w:r>
      <w:r w:rsidR="007B362F">
        <w:t>(</w:t>
      </w:r>
      <w:r>
        <w:t>MediaTek</w:t>
      </w:r>
      <w:r w:rsidR="007B362F">
        <w:t>)</w:t>
      </w:r>
      <w:r w:rsidR="00C12CF3">
        <w:t xml:space="preserve">, </w:t>
      </w:r>
      <w:r w:rsidR="00BA6E2F">
        <w:t>RAN</w:t>
      </w:r>
      <w:r w:rsidR="00BA6E2F" w:rsidRPr="00BA6E2F">
        <w:t>2 #123bis</w:t>
      </w:r>
      <w:r w:rsidR="00BA6E2F" w:rsidRPr="00BA6E2F">
        <w:t xml:space="preserve"> </w:t>
      </w:r>
      <w:r w:rsidR="00BA6E2F">
        <w:t xml:space="preserve">meeting, </w:t>
      </w:r>
      <w:r w:rsidR="007C456C">
        <w:t>October 2023</w:t>
      </w:r>
      <w:bookmarkEnd w:id="18"/>
    </w:p>
    <w:p w14:paraId="08EDB3A2" w14:textId="21A2147C" w:rsidR="005A6A22" w:rsidRDefault="005A6A22" w:rsidP="005A6A22">
      <w:pPr>
        <w:numPr>
          <w:ilvl w:val="0"/>
          <w:numId w:val="12"/>
        </w:numPr>
        <w:overflowPunct/>
        <w:autoSpaceDE/>
        <w:adjustRightInd/>
        <w:spacing w:after="120"/>
      </w:pPr>
      <w:r>
        <w:t>R1-2310325, “RAN1 agreements for Rel-17 NR RedCap,” Rapporteur (Ericsson), RAN #114bis, October 2023</w:t>
      </w:r>
    </w:p>
    <w:p w14:paraId="31C0C71D" w14:textId="1263A77A" w:rsidR="00486746" w:rsidRDefault="003428CC" w:rsidP="005A662F">
      <w:pPr>
        <w:numPr>
          <w:ilvl w:val="0"/>
          <w:numId w:val="12"/>
        </w:numPr>
        <w:overflowPunct/>
        <w:autoSpaceDE/>
        <w:autoSpaceDN/>
        <w:adjustRightInd/>
        <w:spacing w:after="120"/>
        <w:textAlignment w:val="auto"/>
      </w:pPr>
      <w:bookmarkStart w:id="19" w:name="_Ref149936320"/>
      <w:r w:rsidRPr="003428CC">
        <w:t>R4-2317396</w:t>
      </w:r>
      <w:r>
        <w:t xml:space="preserve">, </w:t>
      </w:r>
      <w:r w:rsidR="00A718AD" w:rsidRPr="00A718AD">
        <w:t>Modification on interruption in paging reception for HD-FDD RedCap UEs</w:t>
      </w:r>
      <w:r w:rsidR="00DD43F3">
        <w:t xml:space="preserve">, </w:t>
      </w:r>
      <w:r w:rsidR="00DD43F3" w:rsidRPr="00DD43F3">
        <w:t>RAN4 Meeting # 108bis</w:t>
      </w:r>
      <w:r w:rsidR="00751E4B">
        <w:t xml:space="preserve">, RAN4 </w:t>
      </w:r>
      <w:r w:rsidR="00F75E2A" w:rsidRPr="00F75E2A">
        <w:t xml:space="preserve">Huawei, </w:t>
      </w:r>
      <w:proofErr w:type="spellStart"/>
      <w:r w:rsidR="00F75E2A" w:rsidRPr="00F75E2A">
        <w:t>HiSilicon</w:t>
      </w:r>
      <w:bookmarkEnd w:id="19"/>
      <w:proofErr w:type="spellEnd"/>
    </w:p>
    <w:sectPr w:rsidR="00486746"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867AE" w14:textId="77777777" w:rsidR="00E015BD" w:rsidRDefault="00E015BD">
      <w:r>
        <w:separator/>
      </w:r>
    </w:p>
  </w:endnote>
  <w:endnote w:type="continuationSeparator" w:id="0">
    <w:p w14:paraId="784A54E0" w14:textId="77777777" w:rsidR="00E015BD" w:rsidRDefault="00E0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8DA31" w14:textId="77777777" w:rsidR="00E015BD" w:rsidRDefault="00E015BD">
      <w:r>
        <w:separator/>
      </w:r>
    </w:p>
  </w:footnote>
  <w:footnote w:type="continuationSeparator" w:id="0">
    <w:p w14:paraId="6D5D9D6E" w14:textId="77777777" w:rsidR="00E015BD" w:rsidRDefault="00E01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6520E7"/>
    <w:multiLevelType w:val="hybridMultilevel"/>
    <w:tmpl w:val="F2845974"/>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A65058"/>
    <w:multiLevelType w:val="hybridMultilevel"/>
    <w:tmpl w:val="791CC9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AF6F4D"/>
    <w:multiLevelType w:val="hybridMultilevel"/>
    <w:tmpl w:val="B0A2CF62"/>
    <w:lvl w:ilvl="0" w:tplc="D7B286E0">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4851D74"/>
    <w:multiLevelType w:val="hybridMultilevel"/>
    <w:tmpl w:val="2624BDE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C763578"/>
    <w:multiLevelType w:val="multilevel"/>
    <w:tmpl w:val="6C7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86C0D48"/>
    <w:multiLevelType w:val="hybridMultilevel"/>
    <w:tmpl w:val="03F65732"/>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8DD08EC"/>
    <w:multiLevelType w:val="hybridMultilevel"/>
    <w:tmpl w:val="0004DC9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7"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6"/>
  </w:num>
  <w:num w:numId="2" w16cid:durableId="1637754017">
    <w:abstractNumId w:val="5"/>
  </w:num>
  <w:num w:numId="3" w16cid:durableId="1589804495">
    <w:abstractNumId w:val="28"/>
  </w:num>
  <w:num w:numId="4" w16cid:durableId="552733674">
    <w:abstractNumId w:val="29"/>
  </w:num>
  <w:num w:numId="5" w16cid:durableId="1677728921">
    <w:abstractNumId w:val="3"/>
  </w:num>
  <w:num w:numId="6" w16cid:durableId="1137146001">
    <w:abstractNumId w:val="15"/>
  </w:num>
  <w:num w:numId="7" w16cid:durableId="1799103365">
    <w:abstractNumId w:val="16"/>
  </w:num>
  <w:num w:numId="8" w16cid:durableId="944925966">
    <w:abstractNumId w:val="4"/>
  </w:num>
  <w:num w:numId="9" w16cid:durableId="1573929314">
    <w:abstractNumId w:val="9"/>
  </w:num>
  <w:num w:numId="10" w16cid:durableId="1085147673">
    <w:abstractNumId w:val="14"/>
  </w:num>
  <w:num w:numId="11" w16cid:durableId="287592762">
    <w:abstractNumId w:val="11"/>
  </w:num>
  <w:num w:numId="12" w16cid:durableId="367800073">
    <w:abstractNumId w:val="12"/>
  </w:num>
  <w:num w:numId="13" w16cid:durableId="611472356">
    <w:abstractNumId w:val="26"/>
  </w:num>
  <w:num w:numId="14" w16cid:durableId="789014941">
    <w:abstractNumId w:val="8"/>
  </w:num>
  <w:num w:numId="15" w16cid:durableId="81920640">
    <w:abstractNumId w:val="18"/>
  </w:num>
  <w:num w:numId="16" w16cid:durableId="881090597">
    <w:abstractNumId w:val="23"/>
  </w:num>
  <w:num w:numId="17" w16cid:durableId="1415928643">
    <w:abstractNumId w:val="13"/>
  </w:num>
  <w:num w:numId="18" w16cid:durableId="2111467036">
    <w:abstractNumId w:val="22"/>
  </w:num>
  <w:num w:numId="19" w16cid:durableId="256058531">
    <w:abstractNumId w:val="24"/>
  </w:num>
  <w:num w:numId="20" w16cid:durableId="238368282">
    <w:abstractNumId w:val="0"/>
  </w:num>
  <w:num w:numId="21" w16cid:durableId="2037459946">
    <w:abstractNumId w:val="25"/>
  </w:num>
  <w:num w:numId="22" w16cid:durableId="2030449378">
    <w:abstractNumId w:val="19"/>
  </w:num>
  <w:num w:numId="23" w16cid:durableId="347101384">
    <w:abstractNumId w:val="2"/>
  </w:num>
  <w:num w:numId="24" w16cid:durableId="734860193">
    <w:abstractNumId w:val="10"/>
  </w:num>
  <w:num w:numId="25" w16cid:durableId="951327053">
    <w:abstractNumId w:val="21"/>
  </w:num>
  <w:num w:numId="26" w16cid:durableId="1041050140">
    <w:abstractNumId w:val="7"/>
  </w:num>
  <w:num w:numId="27" w16cid:durableId="1509173166">
    <w:abstractNumId w:val="1"/>
  </w:num>
  <w:num w:numId="28" w16cid:durableId="237830382">
    <w:abstractNumId w:val="20"/>
  </w:num>
  <w:num w:numId="29" w16cid:durableId="806901065">
    <w:abstractNumId w:val="27"/>
  </w:num>
  <w:num w:numId="30" w16cid:durableId="529294290">
    <w:abstractNumId w:val="17"/>
  </w:num>
  <w:num w:numId="31" w16cid:durableId="774839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0149960">
    <w:abstractNumId w:val="17"/>
    <w:lvlOverride w:ilvl="0"/>
    <w:lvlOverride w:ilvl="1"/>
    <w:lvlOverride w:ilvl="2"/>
    <w:lvlOverride w:ilvl="3"/>
    <w:lvlOverride w:ilvl="4"/>
    <w:lvlOverride w:ilvl="5"/>
    <w:lvlOverride w:ilvl="6"/>
    <w:lvlOverride w:ilvl="7"/>
    <w:lvlOverride w:ilv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3D"/>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C4"/>
    <w:rsid w:val="000027CD"/>
    <w:rsid w:val="00002862"/>
    <w:rsid w:val="00002ADB"/>
    <w:rsid w:val="00002B0A"/>
    <w:rsid w:val="00002C5F"/>
    <w:rsid w:val="00002D53"/>
    <w:rsid w:val="00002DAF"/>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3FB"/>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F7"/>
    <w:rsid w:val="00043166"/>
    <w:rsid w:val="000431A1"/>
    <w:rsid w:val="000433FA"/>
    <w:rsid w:val="00043405"/>
    <w:rsid w:val="00043474"/>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5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B62"/>
    <w:rsid w:val="000C0E7A"/>
    <w:rsid w:val="000C1053"/>
    <w:rsid w:val="000C10E0"/>
    <w:rsid w:val="000C1120"/>
    <w:rsid w:val="000C1121"/>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992"/>
    <w:rsid w:val="000E4CB4"/>
    <w:rsid w:val="000E4FB5"/>
    <w:rsid w:val="000E50A8"/>
    <w:rsid w:val="000E558F"/>
    <w:rsid w:val="000E561F"/>
    <w:rsid w:val="000E569B"/>
    <w:rsid w:val="000E5A15"/>
    <w:rsid w:val="000E5A4D"/>
    <w:rsid w:val="000E5B1A"/>
    <w:rsid w:val="000E5D66"/>
    <w:rsid w:val="000E5D6F"/>
    <w:rsid w:val="000E5EA1"/>
    <w:rsid w:val="000E5EBD"/>
    <w:rsid w:val="000E5F59"/>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6F44"/>
    <w:rsid w:val="000F72AC"/>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1D1"/>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5F"/>
    <w:rsid w:val="00164FA6"/>
    <w:rsid w:val="00164FE0"/>
    <w:rsid w:val="00165014"/>
    <w:rsid w:val="001652DB"/>
    <w:rsid w:val="00165781"/>
    <w:rsid w:val="001658D7"/>
    <w:rsid w:val="0016594E"/>
    <w:rsid w:val="00165B21"/>
    <w:rsid w:val="00165D34"/>
    <w:rsid w:val="00165D78"/>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0D4"/>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4F3"/>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394"/>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80D"/>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6D3"/>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A7"/>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11E"/>
    <w:rsid w:val="003133F3"/>
    <w:rsid w:val="0031355B"/>
    <w:rsid w:val="003136BE"/>
    <w:rsid w:val="00313886"/>
    <w:rsid w:val="00313D84"/>
    <w:rsid w:val="00313DC3"/>
    <w:rsid w:val="00313F39"/>
    <w:rsid w:val="003140C4"/>
    <w:rsid w:val="003140C8"/>
    <w:rsid w:val="00314162"/>
    <w:rsid w:val="00314297"/>
    <w:rsid w:val="0031442C"/>
    <w:rsid w:val="0031452C"/>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C0C"/>
    <w:rsid w:val="00341D33"/>
    <w:rsid w:val="00341F1B"/>
    <w:rsid w:val="00341F70"/>
    <w:rsid w:val="00341F81"/>
    <w:rsid w:val="00341FA8"/>
    <w:rsid w:val="00342458"/>
    <w:rsid w:val="003424C9"/>
    <w:rsid w:val="003426EA"/>
    <w:rsid w:val="003428CC"/>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582"/>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2BC"/>
    <w:rsid w:val="004123C4"/>
    <w:rsid w:val="004127FA"/>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25"/>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746"/>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7E"/>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52DF"/>
    <w:rsid w:val="004B53C9"/>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6A7"/>
    <w:rsid w:val="004B78AB"/>
    <w:rsid w:val="004B796C"/>
    <w:rsid w:val="004B797A"/>
    <w:rsid w:val="004B7ADF"/>
    <w:rsid w:val="004B7E90"/>
    <w:rsid w:val="004C00B7"/>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09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4A2"/>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A7D"/>
    <w:rsid w:val="005A5B3E"/>
    <w:rsid w:val="005A5B67"/>
    <w:rsid w:val="005A5C14"/>
    <w:rsid w:val="005A5C71"/>
    <w:rsid w:val="005A6052"/>
    <w:rsid w:val="005A6308"/>
    <w:rsid w:val="005A64B5"/>
    <w:rsid w:val="005A64BB"/>
    <w:rsid w:val="005A6575"/>
    <w:rsid w:val="005A65E3"/>
    <w:rsid w:val="005A662F"/>
    <w:rsid w:val="005A6818"/>
    <w:rsid w:val="005A68DC"/>
    <w:rsid w:val="005A6A22"/>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288"/>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0DDC"/>
    <w:rsid w:val="005E1076"/>
    <w:rsid w:val="005E10DC"/>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5A7"/>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318"/>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4A3"/>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2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58"/>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8F4"/>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8D7"/>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5B"/>
    <w:rsid w:val="0065599D"/>
    <w:rsid w:val="00655A97"/>
    <w:rsid w:val="00655C96"/>
    <w:rsid w:val="00655D24"/>
    <w:rsid w:val="00656298"/>
    <w:rsid w:val="00656435"/>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5DA8"/>
    <w:rsid w:val="006765FF"/>
    <w:rsid w:val="00676A70"/>
    <w:rsid w:val="00676B69"/>
    <w:rsid w:val="00676D93"/>
    <w:rsid w:val="00676DC3"/>
    <w:rsid w:val="00676FDF"/>
    <w:rsid w:val="006770AA"/>
    <w:rsid w:val="00677212"/>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61"/>
    <w:rsid w:val="00686A9E"/>
    <w:rsid w:val="00686BE7"/>
    <w:rsid w:val="00686C33"/>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6212"/>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4E03"/>
    <w:rsid w:val="006C524B"/>
    <w:rsid w:val="006C56C7"/>
    <w:rsid w:val="006C5C4A"/>
    <w:rsid w:val="006C5FA0"/>
    <w:rsid w:val="006C61CC"/>
    <w:rsid w:val="006C61FE"/>
    <w:rsid w:val="006C6208"/>
    <w:rsid w:val="006C62D0"/>
    <w:rsid w:val="006C63E2"/>
    <w:rsid w:val="006C6543"/>
    <w:rsid w:val="006C6657"/>
    <w:rsid w:val="006C6A55"/>
    <w:rsid w:val="006C6B65"/>
    <w:rsid w:val="006C6CE3"/>
    <w:rsid w:val="006C6E42"/>
    <w:rsid w:val="006C6FA9"/>
    <w:rsid w:val="006C7124"/>
    <w:rsid w:val="006C73D1"/>
    <w:rsid w:val="006C73DE"/>
    <w:rsid w:val="006C747F"/>
    <w:rsid w:val="006C748D"/>
    <w:rsid w:val="006C74C4"/>
    <w:rsid w:val="006C758C"/>
    <w:rsid w:val="006C76A0"/>
    <w:rsid w:val="006C76CF"/>
    <w:rsid w:val="006C7709"/>
    <w:rsid w:val="006C7A1E"/>
    <w:rsid w:val="006C7A7E"/>
    <w:rsid w:val="006C7ACC"/>
    <w:rsid w:val="006C7D55"/>
    <w:rsid w:val="006C7E53"/>
    <w:rsid w:val="006D006C"/>
    <w:rsid w:val="006D0082"/>
    <w:rsid w:val="006D012F"/>
    <w:rsid w:val="006D029B"/>
    <w:rsid w:val="006D0353"/>
    <w:rsid w:val="006D059C"/>
    <w:rsid w:val="006D065E"/>
    <w:rsid w:val="006D06BD"/>
    <w:rsid w:val="006D0883"/>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2EB"/>
    <w:rsid w:val="007105DD"/>
    <w:rsid w:val="0071066D"/>
    <w:rsid w:val="007106EE"/>
    <w:rsid w:val="00710740"/>
    <w:rsid w:val="00710837"/>
    <w:rsid w:val="007109C6"/>
    <w:rsid w:val="007109C8"/>
    <w:rsid w:val="00710A2F"/>
    <w:rsid w:val="00710CA5"/>
    <w:rsid w:val="00711079"/>
    <w:rsid w:val="00711556"/>
    <w:rsid w:val="0071157F"/>
    <w:rsid w:val="007115C4"/>
    <w:rsid w:val="0071196E"/>
    <w:rsid w:val="00711A20"/>
    <w:rsid w:val="00711A56"/>
    <w:rsid w:val="00711C58"/>
    <w:rsid w:val="00711EE5"/>
    <w:rsid w:val="00711F53"/>
    <w:rsid w:val="00711F75"/>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4DC"/>
    <w:rsid w:val="0072168B"/>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5000C"/>
    <w:rsid w:val="0075004D"/>
    <w:rsid w:val="007502CA"/>
    <w:rsid w:val="007503B9"/>
    <w:rsid w:val="007505AA"/>
    <w:rsid w:val="007506E8"/>
    <w:rsid w:val="0075072D"/>
    <w:rsid w:val="007509BD"/>
    <w:rsid w:val="00750C73"/>
    <w:rsid w:val="00750D82"/>
    <w:rsid w:val="00750EDE"/>
    <w:rsid w:val="00751599"/>
    <w:rsid w:val="007519CB"/>
    <w:rsid w:val="00751C64"/>
    <w:rsid w:val="00751E4B"/>
    <w:rsid w:val="00751EC4"/>
    <w:rsid w:val="00752036"/>
    <w:rsid w:val="00752254"/>
    <w:rsid w:val="0075286F"/>
    <w:rsid w:val="007528D3"/>
    <w:rsid w:val="00752A0C"/>
    <w:rsid w:val="00752A2D"/>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D2C"/>
    <w:rsid w:val="00755DF1"/>
    <w:rsid w:val="00755FDE"/>
    <w:rsid w:val="007563A8"/>
    <w:rsid w:val="0075670E"/>
    <w:rsid w:val="0075677B"/>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9D"/>
    <w:rsid w:val="00762CCD"/>
    <w:rsid w:val="00762D78"/>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060"/>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E36"/>
    <w:rsid w:val="007A2F3A"/>
    <w:rsid w:val="007A3317"/>
    <w:rsid w:val="007A3420"/>
    <w:rsid w:val="007A354E"/>
    <w:rsid w:val="007A35D5"/>
    <w:rsid w:val="007A3AC7"/>
    <w:rsid w:val="007A3CB4"/>
    <w:rsid w:val="007A3E1F"/>
    <w:rsid w:val="007A3F35"/>
    <w:rsid w:val="007A4060"/>
    <w:rsid w:val="007A42BE"/>
    <w:rsid w:val="007A4492"/>
    <w:rsid w:val="007A44B2"/>
    <w:rsid w:val="007A44E7"/>
    <w:rsid w:val="007A4570"/>
    <w:rsid w:val="007A45F5"/>
    <w:rsid w:val="007A4903"/>
    <w:rsid w:val="007A4984"/>
    <w:rsid w:val="007A4999"/>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62F"/>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4B8"/>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56C"/>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5F"/>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D40"/>
    <w:rsid w:val="00820FD5"/>
    <w:rsid w:val="00821290"/>
    <w:rsid w:val="0082158C"/>
    <w:rsid w:val="00821799"/>
    <w:rsid w:val="00821825"/>
    <w:rsid w:val="00821832"/>
    <w:rsid w:val="00821CAD"/>
    <w:rsid w:val="00821D6C"/>
    <w:rsid w:val="0082206F"/>
    <w:rsid w:val="008220FE"/>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684"/>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A0006"/>
    <w:rsid w:val="008A0188"/>
    <w:rsid w:val="008A03CC"/>
    <w:rsid w:val="008A0411"/>
    <w:rsid w:val="008A04C9"/>
    <w:rsid w:val="008A05AF"/>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655"/>
    <w:rsid w:val="008E1720"/>
    <w:rsid w:val="008E189B"/>
    <w:rsid w:val="008E1987"/>
    <w:rsid w:val="008E1AA0"/>
    <w:rsid w:val="008E1D1B"/>
    <w:rsid w:val="008E21C5"/>
    <w:rsid w:val="008E22D1"/>
    <w:rsid w:val="008E2301"/>
    <w:rsid w:val="008E25A2"/>
    <w:rsid w:val="008E2C76"/>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0F7"/>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301"/>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24"/>
    <w:rsid w:val="00927779"/>
    <w:rsid w:val="0092785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D9F"/>
    <w:rsid w:val="00955EC7"/>
    <w:rsid w:val="009561A9"/>
    <w:rsid w:val="0095623F"/>
    <w:rsid w:val="009563DE"/>
    <w:rsid w:val="00956432"/>
    <w:rsid w:val="00956448"/>
    <w:rsid w:val="009564A4"/>
    <w:rsid w:val="009568A6"/>
    <w:rsid w:val="00956B99"/>
    <w:rsid w:val="00956F3A"/>
    <w:rsid w:val="00956FE7"/>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305"/>
    <w:rsid w:val="00967426"/>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9C"/>
    <w:rsid w:val="009855CA"/>
    <w:rsid w:val="0098561C"/>
    <w:rsid w:val="00985776"/>
    <w:rsid w:val="0098588E"/>
    <w:rsid w:val="009859AE"/>
    <w:rsid w:val="00985C50"/>
    <w:rsid w:val="00985DB1"/>
    <w:rsid w:val="00985DB5"/>
    <w:rsid w:val="0098604F"/>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2E05"/>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F61"/>
    <w:rsid w:val="009D3025"/>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4F88"/>
    <w:rsid w:val="009E5002"/>
    <w:rsid w:val="009E51DD"/>
    <w:rsid w:val="009E5207"/>
    <w:rsid w:val="009E542B"/>
    <w:rsid w:val="009E5532"/>
    <w:rsid w:val="009E55D6"/>
    <w:rsid w:val="009E5645"/>
    <w:rsid w:val="009E5663"/>
    <w:rsid w:val="009E57C7"/>
    <w:rsid w:val="009E5E6E"/>
    <w:rsid w:val="009E5F18"/>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1F"/>
    <w:rsid w:val="00A011FA"/>
    <w:rsid w:val="00A012B5"/>
    <w:rsid w:val="00A0133B"/>
    <w:rsid w:val="00A013BA"/>
    <w:rsid w:val="00A01490"/>
    <w:rsid w:val="00A016F9"/>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89C"/>
    <w:rsid w:val="00A208B8"/>
    <w:rsid w:val="00A20955"/>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DEB"/>
    <w:rsid w:val="00A40FC0"/>
    <w:rsid w:val="00A413AC"/>
    <w:rsid w:val="00A41423"/>
    <w:rsid w:val="00A41471"/>
    <w:rsid w:val="00A418C4"/>
    <w:rsid w:val="00A41937"/>
    <w:rsid w:val="00A41957"/>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ABC"/>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649"/>
    <w:rsid w:val="00A54E67"/>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8AD"/>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CF8"/>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88D"/>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0DD5"/>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22B"/>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10F"/>
    <w:rsid w:val="00AE7168"/>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334"/>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38E"/>
    <w:rsid w:val="00B0642A"/>
    <w:rsid w:val="00B06565"/>
    <w:rsid w:val="00B065B0"/>
    <w:rsid w:val="00B067BD"/>
    <w:rsid w:val="00B06929"/>
    <w:rsid w:val="00B069A0"/>
    <w:rsid w:val="00B069F4"/>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648"/>
    <w:rsid w:val="00B148CC"/>
    <w:rsid w:val="00B149E9"/>
    <w:rsid w:val="00B14A98"/>
    <w:rsid w:val="00B14C86"/>
    <w:rsid w:val="00B15093"/>
    <w:rsid w:val="00B1509F"/>
    <w:rsid w:val="00B1520C"/>
    <w:rsid w:val="00B15481"/>
    <w:rsid w:val="00B156D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8D"/>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2F"/>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2042"/>
    <w:rsid w:val="00BB235A"/>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3C1"/>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ABC"/>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C47"/>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800"/>
    <w:rsid w:val="00BF09A8"/>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B98"/>
    <w:rsid w:val="00C00D95"/>
    <w:rsid w:val="00C0100C"/>
    <w:rsid w:val="00C01141"/>
    <w:rsid w:val="00C011FA"/>
    <w:rsid w:val="00C01640"/>
    <w:rsid w:val="00C0169F"/>
    <w:rsid w:val="00C01988"/>
    <w:rsid w:val="00C01B06"/>
    <w:rsid w:val="00C01EF1"/>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36"/>
    <w:rsid w:val="00C126C0"/>
    <w:rsid w:val="00C12726"/>
    <w:rsid w:val="00C129C8"/>
    <w:rsid w:val="00C12B86"/>
    <w:rsid w:val="00C12CD1"/>
    <w:rsid w:val="00C12CF3"/>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081"/>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36"/>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5AA"/>
    <w:rsid w:val="00C356ED"/>
    <w:rsid w:val="00C35895"/>
    <w:rsid w:val="00C35BBA"/>
    <w:rsid w:val="00C35DA6"/>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E1E"/>
    <w:rsid w:val="00C64E8B"/>
    <w:rsid w:val="00C64F01"/>
    <w:rsid w:val="00C65023"/>
    <w:rsid w:val="00C65068"/>
    <w:rsid w:val="00C6522A"/>
    <w:rsid w:val="00C65853"/>
    <w:rsid w:val="00C65955"/>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3F"/>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B42"/>
    <w:rsid w:val="00CD0E99"/>
    <w:rsid w:val="00CD1101"/>
    <w:rsid w:val="00CD16F7"/>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142"/>
    <w:rsid w:val="00CE2202"/>
    <w:rsid w:val="00CE233B"/>
    <w:rsid w:val="00CE2461"/>
    <w:rsid w:val="00CE246B"/>
    <w:rsid w:val="00CE2781"/>
    <w:rsid w:val="00CE27DD"/>
    <w:rsid w:val="00CE2804"/>
    <w:rsid w:val="00CE2B12"/>
    <w:rsid w:val="00CE2EEC"/>
    <w:rsid w:val="00CE3233"/>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2AC"/>
    <w:rsid w:val="00CF07D7"/>
    <w:rsid w:val="00CF08D6"/>
    <w:rsid w:val="00CF0980"/>
    <w:rsid w:val="00CF09F9"/>
    <w:rsid w:val="00CF0A5D"/>
    <w:rsid w:val="00CF0BD5"/>
    <w:rsid w:val="00CF0CB7"/>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1E"/>
    <w:rsid w:val="00D04D5A"/>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92"/>
    <w:rsid w:val="00D324B3"/>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401A7"/>
    <w:rsid w:val="00D401CC"/>
    <w:rsid w:val="00D40375"/>
    <w:rsid w:val="00D40791"/>
    <w:rsid w:val="00D40C3D"/>
    <w:rsid w:val="00D40D86"/>
    <w:rsid w:val="00D40DA6"/>
    <w:rsid w:val="00D41246"/>
    <w:rsid w:val="00D41378"/>
    <w:rsid w:val="00D413EA"/>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419"/>
    <w:rsid w:val="00D56827"/>
    <w:rsid w:val="00D56A6C"/>
    <w:rsid w:val="00D56AE1"/>
    <w:rsid w:val="00D56BC8"/>
    <w:rsid w:val="00D56E7B"/>
    <w:rsid w:val="00D56E9C"/>
    <w:rsid w:val="00D56FC8"/>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B3"/>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80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3E51"/>
    <w:rsid w:val="00D83F95"/>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18"/>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6B"/>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AC"/>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3F3"/>
    <w:rsid w:val="00DD4977"/>
    <w:rsid w:val="00DD49D9"/>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5C1"/>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5BD"/>
    <w:rsid w:val="00E0174E"/>
    <w:rsid w:val="00E0186F"/>
    <w:rsid w:val="00E01A03"/>
    <w:rsid w:val="00E01C95"/>
    <w:rsid w:val="00E01CC7"/>
    <w:rsid w:val="00E01DAA"/>
    <w:rsid w:val="00E01E06"/>
    <w:rsid w:val="00E01EB9"/>
    <w:rsid w:val="00E01F3F"/>
    <w:rsid w:val="00E020DE"/>
    <w:rsid w:val="00E021ED"/>
    <w:rsid w:val="00E02432"/>
    <w:rsid w:val="00E024A1"/>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C09"/>
    <w:rsid w:val="00E14F53"/>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09B"/>
    <w:rsid w:val="00E34388"/>
    <w:rsid w:val="00E34407"/>
    <w:rsid w:val="00E3467F"/>
    <w:rsid w:val="00E348F3"/>
    <w:rsid w:val="00E34957"/>
    <w:rsid w:val="00E34F02"/>
    <w:rsid w:val="00E35523"/>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380"/>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1B1"/>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1EF"/>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5C"/>
    <w:rsid w:val="00EC4C85"/>
    <w:rsid w:val="00EC5327"/>
    <w:rsid w:val="00EC55B1"/>
    <w:rsid w:val="00EC56B7"/>
    <w:rsid w:val="00EC5866"/>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2D5"/>
    <w:rsid w:val="00ED1334"/>
    <w:rsid w:val="00ED17A9"/>
    <w:rsid w:val="00ED1B82"/>
    <w:rsid w:val="00ED1D33"/>
    <w:rsid w:val="00ED1D56"/>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AA"/>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7F2"/>
    <w:rsid w:val="00EF69C3"/>
    <w:rsid w:val="00EF69EC"/>
    <w:rsid w:val="00EF6B09"/>
    <w:rsid w:val="00EF6CCD"/>
    <w:rsid w:val="00EF6D6C"/>
    <w:rsid w:val="00EF6DB3"/>
    <w:rsid w:val="00EF6DFB"/>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0F9"/>
    <w:rsid w:val="00F3270D"/>
    <w:rsid w:val="00F3275D"/>
    <w:rsid w:val="00F327C5"/>
    <w:rsid w:val="00F329A6"/>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852"/>
    <w:rsid w:val="00F4387D"/>
    <w:rsid w:val="00F438DD"/>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37"/>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4AD"/>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89"/>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E2A"/>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83"/>
    <w:rsid w:val="00F87487"/>
    <w:rsid w:val="00F87596"/>
    <w:rsid w:val="00F87708"/>
    <w:rsid w:val="00F878F2"/>
    <w:rsid w:val="00F87B06"/>
    <w:rsid w:val="00F87B6B"/>
    <w:rsid w:val="00F87C9C"/>
    <w:rsid w:val="00F87CB8"/>
    <w:rsid w:val="00F87CC3"/>
    <w:rsid w:val="00F87E64"/>
    <w:rsid w:val="00F9020D"/>
    <w:rsid w:val="00F9025C"/>
    <w:rsid w:val="00F9063E"/>
    <w:rsid w:val="00F90783"/>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3F53"/>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340"/>
    <w:rsid w:val="00FA7376"/>
    <w:rsid w:val="00FA73A7"/>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02"/>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B2B"/>
    <w:rsid w:val="00FC6CC7"/>
    <w:rsid w:val="00FC6D57"/>
    <w:rsid w:val="00FC6F34"/>
    <w:rsid w:val="00FC70E6"/>
    <w:rsid w:val="00FC7496"/>
    <w:rsid w:val="00FC7619"/>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D86"/>
    <w:rsid w:val="00FE5FAC"/>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40"/>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267"/>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 w:type="character" w:styleId="FollowedHyperlink">
    <w:name w:val="FollowedHyperlink"/>
    <w:basedOn w:val="DefaultParagraphFont"/>
    <w:rsid w:val="00F87C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8000550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83098015">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58255490">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10308537">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2495375">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69885299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311746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080908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61</cp:revision>
  <cp:lastPrinted>2017-10-02T09:51:00Z</cp:lastPrinted>
  <dcterms:created xsi:type="dcterms:W3CDTF">2023-11-02T10:24:00Z</dcterms:created>
  <dcterms:modified xsi:type="dcterms:W3CDTF">2023-11-03T12:42:00Z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